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D9" w:rsidRDefault="007008D9" w:rsidP="007008D9">
      <w:pPr>
        <w:pStyle w:val="3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Литература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 Киевского и Новгородского циклов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 (сборник под ред. А.Н. Афанасьева)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«Изборник» (сборник древнерусских текстов): «Повесть временных лет» («Сказание о Борисе и Глебе»), «Житие Бориса и Глеба», «Слово о погибели русской земли», «Слово о покорении Рязани Батыем», «Житие Александра Невского», «Житие Сергия Радонежского», «Житие протопопа Аввакума»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 (в переводе Д.С. Лихачева)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Комедия </w:t>
      </w:r>
      <w:r>
        <w:rPr>
          <w:rFonts w:ascii="Times New Roman" w:hAnsi="Times New Roman" w:cs="Times New Roman"/>
          <w:b/>
          <w:sz w:val="24"/>
          <w:szCs w:val="24"/>
        </w:rPr>
        <w:t>Мольера</w:t>
      </w:r>
      <w:r>
        <w:rPr>
          <w:rFonts w:ascii="Times New Roman" w:hAnsi="Times New Roman" w:cs="Times New Roman"/>
          <w:sz w:val="24"/>
          <w:szCs w:val="24"/>
        </w:rPr>
        <w:t xml:space="preserve"> «Мещанин во дворянстве!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Оды </w:t>
      </w:r>
      <w:r>
        <w:rPr>
          <w:rFonts w:ascii="Times New Roman" w:hAnsi="Times New Roman" w:cs="Times New Roman"/>
          <w:b/>
          <w:sz w:val="24"/>
          <w:szCs w:val="24"/>
        </w:rPr>
        <w:t>М.В. Ломоносова</w:t>
      </w:r>
      <w:r>
        <w:rPr>
          <w:rFonts w:ascii="Times New Roman" w:hAnsi="Times New Roman" w:cs="Times New Roman"/>
          <w:sz w:val="24"/>
          <w:szCs w:val="24"/>
        </w:rPr>
        <w:t xml:space="preserve"> («Ода на взятие Хотина», «Ода на день восшествия на престол императрицы Елизаветы Петровны»)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Сатиры </w:t>
      </w:r>
      <w:r>
        <w:rPr>
          <w:rFonts w:ascii="Times New Roman" w:hAnsi="Times New Roman" w:cs="Times New Roman"/>
          <w:b/>
          <w:sz w:val="24"/>
          <w:szCs w:val="24"/>
        </w:rPr>
        <w:t>А. Кантемира</w:t>
      </w:r>
      <w:r>
        <w:rPr>
          <w:rFonts w:ascii="Times New Roman" w:hAnsi="Times New Roman" w:cs="Times New Roman"/>
          <w:sz w:val="24"/>
          <w:szCs w:val="24"/>
        </w:rPr>
        <w:t xml:space="preserve"> (сатира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«На хулящих учения», сатира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«На зависть и гордость дворян злонравных»)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Фонвизин</w:t>
      </w:r>
      <w:r>
        <w:rPr>
          <w:rFonts w:ascii="Times New Roman" w:hAnsi="Times New Roman" w:cs="Times New Roman"/>
          <w:sz w:val="24"/>
          <w:szCs w:val="24"/>
        </w:rPr>
        <w:t xml:space="preserve"> «Недоросль»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Оды и лирика </w:t>
      </w:r>
      <w:r>
        <w:rPr>
          <w:rFonts w:ascii="Times New Roman" w:hAnsi="Times New Roman" w:cs="Times New Roman"/>
          <w:b/>
          <w:sz w:val="24"/>
          <w:szCs w:val="24"/>
        </w:rPr>
        <w:t>Г.Р. Державина</w:t>
      </w:r>
      <w:r>
        <w:rPr>
          <w:rFonts w:ascii="Times New Roman" w:hAnsi="Times New Roman" w:cs="Times New Roman"/>
          <w:sz w:val="24"/>
          <w:szCs w:val="24"/>
        </w:rPr>
        <w:t xml:space="preserve"> (оды «На смерть князя Мещерского»,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«Бог»; «Приглашение к обеду», «Евгению.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Лоренс Стерн. </w:t>
      </w:r>
      <w:r>
        <w:rPr>
          <w:rFonts w:ascii="Times New Roman" w:hAnsi="Times New Roman" w:cs="Times New Roman"/>
          <w:sz w:val="24"/>
          <w:szCs w:val="24"/>
        </w:rPr>
        <w:t>Сентиментальное путешествие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Н.М. Карамзин</w:t>
      </w:r>
      <w:r>
        <w:rPr>
          <w:rFonts w:ascii="Times New Roman" w:hAnsi="Times New Roman" w:cs="Times New Roman"/>
          <w:sz w:val="24"/>
          <w:szCs w:val="24"/>
        </w:rPr>
        <w:t xml:space="preserve"> «Бедная Лиза»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А.Н. Радищев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из Петербурга в Москву»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</w:t>
      </w:r>
      <w:r>
        <w:rPr>
          <w:rFonts w:ascii="Times New Roman" w:hAnsi="Times New Roman" w:cs="Times New Roman"/>
          <w:b/>
          <w:sz w:val="24"/>
          <w:szCs w:val="24"/>
        </w:rPr>
        <w:t>Р. Бёрнса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Байрона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Э.-Т.А. Гофмана «</w:t>
      </w:r>
      <w:r>
        <w:rPr>
          <w:rFonts w:ascii="Times New Roman" w:hAnsi="Times New Roman" w:cs="Times New Roman"/>
          <w:sz w:val="24"/>
          <w:szCs w:val="24"/>
        </w:rPr>
        <w:t>Золотой горшок», «Щелкунчик и мышиный король», «Песочный человек», «Крошка Цахес по прозванию Циннобер»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r>
        <w:rPr>
          <w:rFonts w:ascii="Times New Roman" w:hAnsi="Times New Roman" w:cs="Times New Roman"/>
          <w:b/>
          <w:sz w:val="24"/>
          <w:szCs w:val="24"/>
        </w:rPr>
        <w:t xml:space="preserve">Э.А. По </w:t>
      </w:r>
      <w:r>
        <w:rPr>
          <w:rFonts w:ascii="Times New Roman" w:hAnsi="Times New Roman" w:cs="Times New Roman"/>
          <w:sz w:val="24"/>
          <w:szCs w:val="24"/>
        </w:rPr>
        <w:t xml:space="preserve">«Бочонок амонтильядо», «Падение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«Черный кот»,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«Колодец и маятник»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Баллады и лирика </w:t>
      </w:r>
      <w:r>
        <w:rPr>
          <w:rFonts w:ascii="Times New Roman" w:hAnsi="Times New Roman" w:cs="Times New Roman"/>
          <w:b/>
          <w:sz w:val="24"/>
          <w:szCs w:val="24"/>
        </w:rPr>
        <w:t>В.А. Жуковского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</w:t>
      </w:r>
      <w:r>
        <w:rPr>
          <w:rFonts w:ascii="Times New Roman" w:hAnsi="Times New Roman" w:cs="Times New Roman"/>
          <w:b/>
          <w:sz w:val="24"/>
          <w:szCs w:val="24"/>
        </w:rPr>
        <w:t>К.Н. Батюшкова</w:t>
      </w:r>
    </w:p>
    <w:p w:rsidR="007008D9" w:rsidRDefault="007008D9" w:rsidP="007008D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D9" w:rsidRDefault="007008D9" w:rsidP="007008D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пособия по курсу и монографии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8 класс. В.Я. Коровина, В.П. Журавлев, В.И. Коровин. Часть 1. М.: 2016. Издательство «Просвещение»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1. М.: 2016. Издательство «Просвещение»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2. М.: 2016. Издательство «Просвещение»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литература. Энциклопедия для детей.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+». Т.9. Ч.1. М.: 1998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М.: 1985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писатели. Биобиблиографический словарь. Ред. Егоров Б.Ф. М.: 1990. Тт. 1-2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Лихачев «Поэтика древнерусской литературы», «Слово о полку Игореве. Историко-литературный очерк», «Человек в литературе Древней Руси» (любое издание)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О.Б. История русской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века. М.: 2000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Лебедев. М.В. Ломоносов. М.: 1990. Серия ЖЗЛ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«Развернуть старика...» - Сатиры Кантемира как код русской поэзии.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анализа. М.: Издательство Кулагиной, 2012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Станислав Рассадин. Умри, Денис, или Неугодный собеседник императрицы. (История жизни и творчества Дениса Ивановича Фонвизина). М.: «Текст», Серия «Коллекция», 2008</w:t>
      </w:r>
    </w:p>
    <w:p w:rsidR="007008D9" w:rsidRDefault="007008D9" w:rsidP="007008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В.Ф. Ходасевич. Державин.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«Книга», 1988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Западов А.В. Радищев Александр Николаевич. Проба. М.: Советская энциклопедия, 1975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мире Жуковского». М.: 2006</w:t>
      </w:r>
    </w:p>
    <w:p w:rsidR="007008D9" w:rsidRDefault="007008D9" w:rsidP="00700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Кошелев «Константин Батюшков. Странствия и страсти». М.: Современник, 1987</w:t>
      </w:r>
    </w:p>
    <w:p w:rsidR="007008D9" w:rsidRDefault="007008D9" w:rsidP="00700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материалом для изучения зарубежной литературы классицизма, сентиментализма и романтизма являются лекции преподавателя, адаптированные для восприятия восьмиклассников</w:t>
      </w:r>
    </w:p>
    <w:p w:rsidR="005922EA" w:rsidRPr="007008D9" w:rsidRDefault="001572CD">
      <w:pPr>
        <w:rPr>
          <w:rFonts w:ascii="Times New Roman" w:hAnsi="Times New Roman" w:cs="Times New Roman"/>
          <w:sz w:val="24"/>
          <w:szCs w:val="24"/>
        </w:rPr>
      </w:pPr>
    </w:p>
    <w:sectPr w:rsidR="005922EA" w:rsidRPr="0070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B"/>
    <w:rsid w:val="001572CD"/>
    <w:rsid w:val="003A11BC"/>
    <w:rsid w:val="007008D9"/>
    <w:rsid w:val="00F5756B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B2A9-89DF-4D7C-B6C8-C22C504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D9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7008D9"/>
    <w:pPr>
      <w:keepNext/>
      <w:pageBreakBefore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08D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Усольцева Ольга Васильевна</cp:lastModifiedBy>
  <cp:revision>2</cp:revision>
  <dcterms:created xsi:type="dcterms:W3CDTF">2017-06-09T09:24:00Z</dcterms:created>
  <dcterms:modified xsi:type="dcterms:W3CDTF">2017-06-09T09:24:00Z</dcterms:modified>
</cp:coreProperties>
</file>